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44C1BD3C" w:rsidR="00545193" w:rsidRPr="00D93726" w:rsidRDefault="00FD17EE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DELITOS FISCALES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3CB3CBEA" w:rsidR="00545193" w:rsidRPr="00D93726" w:rsidRDefault="00FD1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4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6E351F9C" w:rsidR="00545193" w:rsidRPr="00D93726" w:rsidRDefault="00FD1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2D33D0CD" w:rsidR="00E37605" w:rsidRPr="00766AEB" w:rsidRDefault="00FD17EE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t>Proporcionar conocimientos necesarios que permitan desarrollar habilidades para implementar soluciones dirigidas a, evitar, mitigar o afrontar riesgos y consecuencias inherentes a la comisión de delitos fiscales; implementando medidas preventivas, correctivas o de defensa jurídica.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7BE4D06D" w:rsidR="003A56AC" w:rsidRPr="00766AEB" w:rsidRDefault="00FD17EE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FD17EE">
              <w:rPr>
                <w:color w:val="FFFFFF" w:themeColor="background1"/>
              </w:rPr>
              <w:t>INSTITUCIONES, FIGURAS Y PROCEDIMIENTOS ADMINISTRATIVOS EN MATERIA FISCAL</w:t>
            </w:r>
          </w:p>
        </w:tc>
      </w:tr>
      <w:tr w:rsidR="00B65ABA" w:rsidRPr="00766AEB" w14:paraId="4082E0D9" w14:textId="77777777" w:rsidTr="00AA7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  <w:vAlign w:val="center"/>
          </w:tcPr>
          <w:p w14:paraId="72079716" w14:textId="039C490C" w:rsidR="00FD17EE" w:rsidRPr="00AA7385" w:rsidRDefault="00FD17EE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Derecho </w:t>
            </w:r>
            <w:r w:rsidR="00B23740">
              <w:rPr>
                <w:rFonts w:cstheme="minorHAnsi"/>
                <w:b w:val="0"/>
                <w:bCs w:val="0"/>
              </w:rPr>
              <w:t>t</w:t>
            </w:r>
            <w:r w:rsidR="00AA7385" w:rsidRPr="00AA7385">
              <w:rPr>
                <w:rFonts w:cstheme="minorHAnsi"/>
                <w:b w:val="0"/>
                <w:bCs w:val="0"/>
              </w:rPr>
              <w:t>ributario</w:t>
            </w:r>
          </w:p>
          <w:p w14:paraId="6C8C4202" w14:textId="435741A7" w:rsidR="00FD17EE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Responsabilidad </w:t>
            </w:r>
            <w:r w:rsidR="00B23740">
              <w:rPr>
                <w:rFonts w:cstheme="minorHAnsi"/>
                <w:b w:val="0"/>
                <w:bCs w:val="0"/>
              </w:rPr>
              <w:t>S</w:t>
            </w:r>
            <w:r w:rsidRPr="00AA7385">
              <w:rPr>
                <w:rFonts w:cstheme="minorHAnsi"/>
                <w:b w:val="0"/>
                <w:bCs w:val="0"/>
              </w:rPr>
              <w:t xml:space="preserve">olidaria en materia </w:t>
            </w:r>
            <w:r w:rsidR="00B23740">
              <w:rPr>
                <w:rFonts w:cstheme="minorHAnsi"/>
                <w:b w:val="0"/>
                <w:bCs w:val="0"/>
              </w:rPr>
              <w:t>F</w:t>
            </w:r>
            <w:r w:rsidRPr="00AA7385">
              <w:rPr>
                <w:rFonts w:cstheme="minorHAnsi"/>
                <w:b w:val="0"/>
                <w:bCs w:val="0"/>
              </w:rPr>
              <w:t>iscal</w:t>
            </w:r>
          </w:p>
          <w:p w14:paraId="2E893E5F" w14:textId="7114C3A6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Caducidad, </w:t>
            </w:r>
            <w:r w:rsidR="00B23740">
              <w:rPr>
                <w:rFonts w:cstheme="minorHAnsi"/>
                <w:b w:val="0"/>
                <w:bCs w:val="0"/>
              </w:rPr>
              <w:t>p</w:t>
            </w:r>
            <w:r w:rsidRPr="00AA7385">
              <w:rPr>
                <w:rFonts w:cstheme="minorHAnsi"/>
                <w:b w:val="0"/>
                <w:bCs w:val="0"/>
              </w:rPr>
              <w:t xml:space="preserve">rescripción y </w:t>
            </w:r>
            <w:r w:rsidR="00B23740">
              <w:rPr>
                <w:rFonts w:cstheme="minorHAnsi"/>
                <w:b w:val="0"/>
                <w:bCs w:val="0"/>
              </w:rPr>
              <w:t>p</w:t>
            </w:r>
            <w:r w:rsidRPr="00AA7385">
              <w:rPr>
                <w:rFonts w:cstheme="minorHAnsi"/>
                <w:b w:val="0"/>
                <w:bCs w:val="0"/>
              </w:rPr>
              <w:t>relación en materia tributaria</w:t>
            </w:r>
          </w:p>
          <w:p w14:paraId="6FFB6A68" w14:textId="28C91593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Domicilio Fiscal, </w:t>
            </w:r>
            <w:r w:rsidR="00B23740">
              <w:rPr>
                <w:rFonts w:cstheme="minorHAnsi"/>
                <w:b w:val="0"/>
                <w:bCs w:val="0"/>
              </w:rPr>
              <w:t>b</w:t>
            </w:r>
            <w:r w:rsidRPr="00AA7385">
              <w:rPr>
                <w:rFonts w:cstheme="minorHAnsi"/>
                <w:b w:val="0"/>
                <w:bCs w:val="0"/>
              </w:rPr>
              <w:t xml:space="preserve">uzón </w:t>
            </w:r>
            <w:r w:rsidR="00B23740">
              <w:rPr>
                <w:rFonts w:cstheme="minorHAnsi"/>
                <w:b w:val="0"/>
                <w:bCs w:val="0"/>
              </w:rPr>
              <w:t>t</w:t>
            </w:r>
            <w:r w:rsidRPr="00AA7385">
              <w:rPr>
                <w:rFonts w:cstheme="minorHAnsi"/>
                <w:b w:val="0"/>
                <w:bCs w:val="0"/>
              </w:rPr>
              <w:t xml:space="preserve">ributario y </w:t>
            </w:r>
            <w:r w:rsidR="00B23740">
              <w:rPr>
                <w:rFonts w:cstheme="minorHAnsi"/>
                <w:b w:val="0"/>
                <w:bCs w:val="0"/>
              </w:rPr>
              <w:t>n</w:t>
            </w:r>
            <w:r w:rsidRPr="00AA7385">
              <w:rPr>
                <w:rFonts w:cstheme="minorHAnsi"/>
                <w:b w:val="0"/>
                <w:bCs w:val="0"/>
              </w:rPr>
              <w:t xml:space="preserve">otificaciones </w:t>
            </w:r>
            <w:r w:rsidR="00B23740">
              <w:rPr>
                <w:rFonts w:cstheme="minorHAnsi"/>
                <w:b w:val="0"/>
                <w:bCs w:val="0"/>
              </w:rPr>
              <w:t>e</w:t>
            </w:r>
            <w:r w:rsidRPr="00AA7385">
              <w:rPr>
                <w:rFonts w:cstheme="minorHAnsi"/>
                <w:b w:val="0"/>
                <w:bCs w:val="0"/>
              </w:rPr>
              <w:t>lectrónicas</w:t>
            </w:r>
          </w:p>
          <w:p w14:paraId="4A165A9D" w14:textId="49ACD4A5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Firma </w:t>
            </w:r>
            <w:r w:rsidR="00B23740">
              <w:rPr>
                <w:rFonts w:cstheme="minorHAnsi"/>
                <w:b w:val="0"/>
                <w:bCs w:val="0"/>
              </w:rPr>
              <w:t>e</w:t>
            </w:r>
            <w:r w:rsidRPr="00AA7385">
              <w:rPr>
                <w:rFonts w:cstheme="minorHAnsi"/>
                <w:b w:val="0"/>
                <w:bCs w:val="0"/>
              </w:rPr>
              <w:t xml:space="preserve">lectrónica, y </w:t>
            </w:r>
            <w:r w:rsidR="00B23740">
              <w:rPr>
                <w:rFonts w:cstheme="minorHAnsi"/>
                <w:b w:val="0"/>
                <w:bCs w:val="0"/>
              </w:rPr>
              <w:t>c</w:t>
            </w:r>
            <w:r w:rsidRPr="00AA7385">
              <w:rPr>
                <w:rFonts w:cstheme="minorHAnsi"/>
                <w:b w:val="0"/>
                <w:bCs w:val="0"/>
              </w:rPr>
              <w:t xml:space="preserve">omprobantes </w:t>
            </w:r>
            <w:r w:rsidR="00B23740">
              <w:rPr>
                <w:rFonts w:cstheme="minorHAnsi"/>
                <w:b w:val="0"/>
                <w:bCs w:val="0"/>
              </w:rPr>
              <w:t>f</w:t>
            </w:r>
            <w:r w:rsidRPr="00AA7385">
              <w:rPr>
                <w:rFonts w:cstheme="minorHAnsi"/>
                <w:b w:val="0"/>
                <w:bCs w:val="0"/>
              </w:rPr>
              <w:t xml:space="preserve">iscales </w:t>
            </w:r>
            <w:r w:rsidR="00B23740">
              <w:rPr>
                <w:rFonts w:cstheme="minorHAnsi"/>
                <w:b w:val="0"/>
                <w:bCs w:val="0"/>
              </w:rPr>
              <w:t>d</w:t>
            </w:r>
            <w:r w:rsidRPr="00AA7385">
              <w:rPr>
                <w:rFonts w:cstheme="minorHAnsi"/>
                <w:b w:val="0"/>
                <w:bCs w:val="0"/>
              </w:rPr>
              <w:t xml:space="preserve">igitales por </w:t>
            </w:r>
            <w:r w:rsidR="00B23740">
              <w:rPr>
                <w:rFonts w:cstheme="minorHAnsi"/>
                <w:b w:val="0"/>
                <w:bCs w:val="0"/>
              </w:rPr>
              <w:t>in</w:t>
            </w:r>
            <w:r w:rsidRPr="00AA7385">
              <w:rPr>
                <w:rFonts w:cstheme="minorHAnsi"/>
                <w:b w:val="0"/>
                <w:bCs w:val="0"/>
              </w:rPr>
              <w:t>ternet (CFDI)</w:t>
            </w:r>
          </w:p>
          <w:p w14:paraId="3D0637E4" w14:textId="09B4301F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Presunción de </w:t>
            </w:r>
            <w:r w:rsidR="00B23740">
              <w:rPr>
                <w:rFonts w:cstheme="minorHAnsi"/>
                <w:b w:val="0"/>
                <w:bCs w:val="0"/>
              </w:rPr>
              <w:t>i</w:t>
            </w:r>
            <w:r w:rsidRPr="00AA7385">
              <w:rPr>
                <w:rFonts w:cstheme="minorHAnsi"/>
                <w:b w:val="0"/>
                <w:bCs w:val="0"/>
              </w:rPr>
              <w:t xml:space="preserve">nexistencia de </w:t>
            </w:r>
            <w:r w:rsidR="00B23740">
              <w:rPr>
                <w:rFonts w:cstheme="minorHAnsi"/>
                <w:b w:val="0"/>
                <w:bCs w:val="0"/>
              </w:rPr>
              <w:t>o</w:t>
            </w:r>
            <w:r w:rsidRPr="00AA7385">
              <w:rPr>
                <w:rFonts w:cstheme="minorHAnsi"/>
                <w:b w:val="0"/>
                <w:bCs w:val="0"/>
              </w:rPr>
              <w:t xml:space="preserve">peraciones </w:t>
            </w:r>
            <w:r w:rsidR="00B23740">
              <w:rPr>
                <w:rFonts w:cstheme="minorHAnsi"/>
                <w:b w:val="0"/>
                <w:bCs w:val="0"/>
              </w:rPr>
              <w:t>a</w:t>
            </w:r>
            <w:r w:rsidRPr="00AA7385">
              <w:rPr>
                <w:rFonts w:cstheme="minorHAnsi"/>
                <w:b w:val="0"/>
                <w:bCs w:val="0"/>
              </w:rPr>
              <w:t xml:space="preserve">mparadas con </w:t>
            </w:r>
            <w:r w:rsidR="00B23740">
              <w:rPr>
                <w:rFonts w:cstheme="minorHAnsi"/>
                <w:b w:val="0"/>
                <w:bCs w:val="0"/>
              </w:rPr>
              <w:t>c</w:t>
            </w:r>
            <w:r w:rsidRPr="00AA7385">
              <w:rPr>
                <w:rFonts w:cstheme="minorHAnsi"/>
                <w:b w:val="0"/>
                <w:bCs w:val="0"/>
              </w:rPr>
              <w:t xml:space="preserve">omprobantes </w:t>
            </w:r>
            <w:r w:rsidR="00B23740">
              <w:rPr>
                <w:rFonts w:cstheme="minorHAnsi"/>
                <w:b w:val="0"/>
                <w:bCs w:val="0"/>
              </w:rPr>
              <w:t>f</w:t>
            </w:r>
            <w:r w:rsidRPr="00AA7385">
              <w:rPr>
                <w:rFonts w:cstheme="minorHAnsi"/>
                <w:b w:val="0"/>
                <w:bCs w:val="0"/>
              </w:rPr>
              <w:t>iscales</w:t>
            </w:r>
          </w:p>
          <w:p w14:paraId="0C7BABEA" w14:textId="7BDCB065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Acuerdos </w:t>
            </w:r>
            <w:r w:rsidR="00B23740">
              <w:rPr>
                <w:rFonts w:cstheme="minorHAnsi"/>
                <w:b w:val="0"/>
                <w:bCs w:val="0"/>
              </w:rPr>
              <w:t>c</w:t>
            </w:r>
            <w:r w:rsidRPr="00AA7385">
              <w:rPr>
                <w:rFonts w:cstheme="minorHAnsi"/>
                <w:b w:val="0"/>
                <w:bCs w:val="0"/>
              </w:rPr>
              <w:t>onclusivos</w:t>
            </w:r>
          </w:p>
          <w:p w14:paraId="7235B23E" w14:textId="1E6D7B2B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>Procedimientos de fiscalización (</w:t>
            </w:r>
            <w:r w:rsidR="00B23740">
              <w:rPr>
                <w:rFonts w:cstheme="minorHAnsi"/>
                <w:b w:val="0"/>
                <w:bCs w:val="0"/>
              </w:rPr>
              <w:t>a</w:t>
            </w:r>
            <w:r w:rsidRPr="00AA7385">
              <w:rPr>
                <w:rFonts w:cstheme="minorHAnsi"/>
                <w:b w:val="0"/>
                <w:bCs w:val="0"/>
              </w:rPr>
              <w:t>uditorías)</w:t>
            </w:r>
          </w:p>
          <w:p w14:paraId="455FF1FF" w14:textId="6626D7CD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Procedimiento </w:t>
            </w:r>
            <w:r w:rsidR="00B23740">
              <w:rPr>
                <w:rFonts w:cstheme="minorHAnsi"/>
                <w:b w:val="0"/>
                <w:bCs w:val="0"/>
              </w:rPr>
              <w:t>a</w:t>
            </w:r>
            <w:r w:rsidRPr="00AA7385">
              <w:rPr>
                <w:rFonts w:cstheme="minorHAnsi"/>
                <w:b w:val="0"/>
                <w:bCs w:val="0"/>
              </w:rPr>
              <w:t xml:space="preserve">dministrativo en </w:t>
            </w:r>
            <w:r w:rsidR="00B23740">
              <w:rPr>
                <w:rFonts w:cstheme="minorHAnsi"/>
                <w:b w:val="0"/>
                <w:bCs w:val="0"/>
              </w:rPr>
              <w:t>m</w:t>
            </w:r>
            <w:r w:rsidRPr="00AA7385">
              <w:rPr>
                <w:rFonts w:cstheme="minorHAnsi"/>
                <w:b w:val="0"/>
                <w:bCs w:val="0"/>
              </w:rPr>
              <w:t xml:space="preserve">ateria </w:t>
            </w:r>
            <w:r w:rsidR="00B23740">
              <w:rPr>
                <w:rFonts w:cstheme="minorHAnsi"/>
                <w:b w:val="0"/>
                <w:bCs w:val="0"/>
              </w:rPr>
              <w:t>a</w:t>
            </w:r>
            <w:r w:rsidRPr="00AA7385">
              <w:rPr>
                <w:rFonts w:cstheme="minorHAnsi"/>
                <w:b w:val="0"/>
                <w:bCs w:val="0"/>
              </w:rPr>
              <w:t>duanera</w:t>
            </w:r>
          </w:p>
          <w:p w14:paraId="1578F1C8" w14:textId="37493580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Procedimiento </w:t>
            </w:r>
            <w:r w:rsidR="00B23740">
              <w:rPr>
                <w:rFonts w:cstheme="minorHAnsi"/>
                <w:b w:val="0"/>
                <w:bCs w:val="0"/>
              </w:rPr>
              <w:t>a</w:t>
            </w:r>
            <w:r w:rsidRPr="00AA7385">
              <w:rPr>
                <w:rFonts w:cstheme="minorHAnsi"/>
                <w:b w:val="0"/>
                <w:bCs w:val="0"/>
              </w:rPr>
              <w:t xml:space="preserve">dministrativo de </w:t>
            </w:r>
            <w:r w:rsidR="00B23740">
              <w:rPr>
                <w:rFonts w:cstheme="minorHAnsi"/>
                <w:b w:val="0"/>
                <w:bCs w:val="0"/>
              </w:rPr>
              <w:t>e</w:t>
            </w:r>
            <w:r w:rsidRPr="00AA7385">
              <w:rPr>
                <w:rFonts w:cstheme="minorHAnsi"/>
                <w:b w:val="0"/>
                <w:bCs w:val="0"/>
              </w:rPr>
              <w:t>jecución</w:t>
            </w:r>
          </w:p>
          <w:p w14:paraId="553B61B9" w14:textId="1764C0F1" w:rsidR="00AA7385" w:rsidRPr="00AA7385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>Inspecciones</w:t>
            </w:r>
          </w:p>
          <w:p w14:paraId="559E99E6" w14:textId="7CBF698F" w:rsidR="00AA7385" w:rsidRPr="00B23740" w:rsidRDefault="00AA7385" w:rsidP="00AA7385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</w:rPr>
              <w:t xml:space="preserve">Inmovilización de </w:t>
            </w:r>
            <w:r w:rsidR="00B23740">
              <w:rPr>
                <w:rFonts w:cstheme="minorHAnsi"/>
                <w:b w:val="0"/>
                <w:bCs w:val="0"/>
              </w:rPr>
              <w:t>d</w:t>
            </w:r>
            <w:r w:rsidRPr="00AA7385">
              <w:rPr>
                <w:rFonts w:cstheme="minorHAnsi"/>
                <w:b w:val="0"/>
                <w:bCs w:val="0"/>
              </w:rPr>
              <w:t xml:space="preserve">epósitos </w:t>
            </w:r>
            <w:r w:rsidR="00B23740">
              <w:rPr>
                <w:rFonts w:cstheme="minorHAnsi"/>
                <w:b w:val="0"/>
                <w:bCs w:val="0"/>
              </w:rPr>
              <w:t>b</w:t>
            </w:r>
            <w:r w:rsidRPr="00AA7385">
              <w:rPr>
                <w:rFonts w:cstheme="minorHAnsi"/>
                <w:b w:val="0"/>
                <w:bCs w:val="0"/>
              </w:rPr>
              <w:t>ancarios</w:t>
            </w:r>
          </w:p>
        </w:tc>
      </w:tr>
      <w:tr w:rsidR="00B65AB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25471A9F" w:rsidR="00B65ABA" w:rsidRPr="00766AEB" w:rsidRDefault="00FD17EE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FD17EE">
              <w:rPr>
                <w:color w:val="FFFFFF" w:themeColor="background1"/>
              </w:rPr>
              <w:t>DE LOS DELITOS FISCALES</w:t>
            </w:r>
          </w:p>
        </w:tc>
      </w:tr>
      <w:tr w:rsidR="00DB7003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AFF1A9E" w14:textId="3DE9EE15" w:rsidR="00DB7003" w:rsidRPr="00AA7385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2.1 </w:t>
            </w:r>
            <w:r w:rsidRPr="00AA7385">
              <w:rPr>
                <w:b w:val="0"/>
                <w:bCs w:val="0"/>
              </w:rPr>
              <w:t>Contrabando</w:t>
            </w:r>
          </w:p>
          <w:p w14:paraId="525F6A74" w14:textId="69A57D76" w:rsidR="00AA7385" w:rsidRPr="00AA7385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b w:val="0"/>
                <w:bCs w:val="0"/>
                <w:color w:val="000000"/>
                <w:lang w:val="es-ES_tradnl"/>
              </w:rPr>
              <w:t xml:space="preserve">2.2 </w:t>
            </w:r>
            <w:r w:rsidRPr="00AA7385">
              <w:rPr>
                <w:b w:val="0"/>
                <w:bCs w:val="0"/>
              </w:rPr>
              <w:t xml:space="preserve">Defraudación </w:t>
            </w:r>
            <w:r w:rsidR="00B23740">
              <w:rPr>
                <w:b w:val="0"/>
                <w:bCs w:val="0"/>
              </w:rPr>
              <w:t>f</w:t>
            </w:r>
            <w:r w:rsidRPr="00AA7385">
              <w:rPr>
                <w:b w:val="0"/>
                <w:bCs w:val="0"/>
              </w:rPr>
              <w:t>iscal</w:t>
            </w:r>
          </w:p>
          <w:p w14:paraId="1AF4648E" w14:textId="63A9DBC4" w:rsidR="00AA7385" w:rsidRPr="00AA7385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2.3 </w:t>
            </w:r>
            <w:r w:rsidRPr="00AA7385">
              <w:rPr>
                <w:b w:val="0"/>
                <w:bCs w:val="0"/>
              </w:rPr>
              <w:t xml:space="preserve">Delitos relacionados con comprobantes </w:t>
            </w:r>
            <w:r w:rsidR="00B23740">
              <w:rPr>
                <w:b w:val="0"/>
                <w:bCs w:val="0"/>
              </w:rPr>
              <w:t>f</w:t>
            </w:r>
            <w:r w:rsidRPr="00AA7385">
              <w:rPr>
                <w:b w:val="0"/>
                <w:bCs w:val="0"/>
              </w:rPr>
              <w:t>iscales</w:t>
            </w:r>
          </w:p>
          <w:p w14:paraId="407167E0" w14:textId="7A557A6C" w:rsidR="00AA7385" w:rsidRPr="00AA7385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b w:val="0"/>
                <w:bCs w:val="0"/>
              </w:rPr>
              <w:t xml:space="preserve">2.4 </w:t>
            </w:r>
            <w:r w:rsidRPr="00AA7385">
              <w:rPr>
                <w:b w:val="0"/>
                <w:bCs w:val="0"/>
              </w:rPr>
              <w:t>Delincuencia organizada</w:t>
            </w:r>
          </w:p>
          <w:p w14:paraId="3C4677C6" w14:textId="6F017A5D" w:rsidR="00AA7385" w:rsidRPr="00AA7385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b w:val="0"/>
                <w:bCs w:val="0"/>
              </w:rPr>
              <w:t xml:space="preserve">2.5 </w:t>
            </w:r>
            <w:r w:rsidRPr="00AA7385">
              <w:rPr>
                <w:b w:val="0"/>
                <w:bCs w:val="0"/>
              </w:rPr>
              <w:t>Delitos relacionados con la contabilidad, presentación de declaraciones, divulgación de información y confidencialidad</w:t>
            </w:r>
          </w:p>
          <w:p w14:paraId="6CD3E5F0" w14:textId="23E6DE22" w:rsidR="00766AEB" w:rsidRPr="00B23740" w:rsidRDefault="00AA7385" w:rsidP="00DB7003">
            <w:pPr>
              <w:jc w:val="both"/>
              <w:rPr>
                <w:b w:val="0"/>
                <w:bCs w:val="0"/>
              </w:rPr>
            </w:pPr>
            <w:r w:rsidRPr="00AA7385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2.6 </w:t>
            </w:r>
            <w:r w:rsidRPr="00AA7385">
              <w:rPr>
                <w:b w:val="0"/>
                <w:bCs w:val="0"/>
              </w:rPr>
              <w:t>Recursos de operaciones de procedencia ilícita</w:t>
            </w:r>
          </w:p>
        </w:tc>
      </w:tr>
      <w:tr w:rsidR="00DB7003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54705828" w:rsidR="00DB7003" w:rsidRPr="00766AEB" w:rsidRDefault="00FD17EE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FD17EE">
              <w:rPr>
                <w:color w:val="FFFFFF" w:themeColor="background1"/>
              </w:rPr>
              <w:t>PROCEDIMIENTO PENAL ACUSATORIO EN DELITOS FISCALES</w:t>
            </w:r>
          </w:p>
        </w:tc>
      </w:tr>
      <w:tr w:rsidR="008B23D7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BB86E77" w14:textId="77777777" w:rsidR="00766AEB" w:rsidRPr="00B23740" w:rsidRDefault="008B23D7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766AEB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B23740" w:rsidRPr="00B23740">
              <w:rPr>
                <w:b w:val="0"/>
                <w:bCs w:val="0"/>
              </w:rPr>
              <w:t>De la denuncia, querella y declaración de perjuicio</w:t>
            </w:r>
          </w:p>
          <w:p w14:paraId="6BD98E1B" w14:textId="77777777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Pr="00B23740">
              <w:rPr>
                <w:b w:val="0"/>
                <w:bCs w:val="0"/>
              </w:rPr>
              <w:t>Etapas del procedimiento penal</w:t>
            </w:r>
          </w:p>
          <w:p w14:paraId="1FE4FB31" w14:textId="77777777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b w:val="0"/>
                <w:bCs w:val="0"/>
              </w:rPr>
              <w:t xml:space="preserve">3.3 </w:t>
            </w:r>
            <w:r w:rsidRPr="00B23740">
              <w:rPr>
                <w:b w:val="0"/>
                <w:bCs w:val="0"/>
              </w:rPr>
              <w:t>Investigación</w:t>
            </w:r>
          </w:p>
          <w:p w14:paraId="55C84869" w14:textId="77777777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b w:val="0"/>
                <w:bCs w:val="0"/>
              </w:rPr>
              <w:t xml:space="preserve">3.4 </w:t>
            </w:r>
            <w:r w:rsidRPr="00B23740">
              <w:rPr>
                <w:b w:val="0"/>
                <w:bCs w:val="0"/>
              </w:rPr>
              <w:t>De la prueba anticipada</w:t>
            </w:r>
          </w:p>
          <w:p w14:paraId="608B04E2" w14:textId="47009925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</w:rPr>
              <w:lastRenderedPageBreak/>
              <w:t xml:space="preserve">3.5 </w:t>
            </w:r>
            <w:r w:rsidRPr="00B23740">
              <w:rPr>
                <w:b w:val="0"/>
                <w:bCs w:val="0"/>
              </w:rPr>
              <w:t>De la audiencia inicial</w:t>
            </w:r>
          </w:p>
          <w:p w14:paraId="36A72D5A" w14:textId="77777777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</w:rPr>
              <w:t xml:space="preserve">3.6 </w:t>
            </w:r>
            <w:r w:rsidRPr="00B23740">
              <w:rPr>
                <w:b w:val="0"/>
                <w:bCs w:val="0"/>
              </w:rPr>
              <w:t>Etapa intermedia o de preparación a juicio</w:t>
            </w:r>
          </w:p>
          <w:p w14:paraId="4C06B519" w14:textId="77777777" w:rsidR="00B23740" w:rsidRPr="00B23740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</w:rPr>
              <w:t xml:space="preserve">3.7 </w:t>
            </w:r>
            <w:r w:rsidRPr="00B23740">
              <w:rPr>
                <w:b w:val="0"/>
                <w:bCs w:val="0"/>
              </w:rPr>
              <w:t>Etapa de juicio</w:t>
            </w:r>
          </w:p>
          <w:p w14:paraId="2587A4D5" w14:textId="0789A80C" w:rsidR="00B23740" w:rsidRPr="00766AEB" w:rsidRDefault="00B23740" w:rsidP="00B2374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23740">
              <w:rPr>
                <w:b w:val="0"/>
                <w:bCs w:val="0"/>
              </w:rPr>
              <w:t xml:space="preserve">3.8 </w:t>
            </w:r>
            <w:r w:rsidRPr="00B23740">
              <w:rPr>
                <w:b w:val="0"/>
                <w:bCs w:val="0"/>
              </w:rPr>
              <w:t>Procedimiento para personas jurídicas (morales)</w:t>
            </w:r>
          </w:p>
        </w:tc>
      </w:tr>
      <w:tr w:rsidR="008B23D7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07560F2E" w:rsidR="008B23D7" w:rsidRPr="00FD17EE" w:rsidRDefault="00FD17EE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FD17EE">
              <w:rPr>
                <w:rFonts w:cstheme="minorHAnsi"/>
                <w:color w:val="FFFFFF" w:themeColor="background1"/>
              </w:rPr>
              <w:lastRenderedPageBreak/>
              <w:t>LEY NACIONAL DE EXTINCIÓN DE DOMINIO</w:t>
            </w:r>
          </w:p>
        </w:tc>
      </w:tr>
      <w:tr w:rsidR="008B23D7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E2F9CC9" w14:textId="3EC8B8BE" w:rsidR="008B23D7" w:rsidRPr="00B23740" w:rsidRDefault="00B23740" w:rsidP="00B23740">
            <w:pPr>
              <w:jc w:val="both"/>
              <w:rPr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4.1 </w:t>
            </w:r>
            <w:r w:rsidRPr="00B23740">
              <w:rPr>
                <w:b w:val="0"/>
                <w:bCs w:val="0"/>
              </w:rPr>
              <w:t xml:space="preserve">Objeto de la </w:t>
            </w:r>
            <w:r>
              <w:rPr>
                <w:b w:val="0"/>
                <w:bCs w:val="0"/>
              </w:rPr>
              <w:t>L</w:t>
            </w:r>
            <w:r w:rsidRPr="00B23740">
              <w:rPr>
                <w:b w:val="0"/>
                <w:bCs w:val="0"/>
              </w:rPr>
              <w:t xml:space="preserve">ey y </w:t>
            </w:r>
            <w:r>
              <w:rPr>
                <w:b w:val="0"/>
                <w:bCs w:val="0"/>
              </w:rPr>
              <w:t>g</w:t>
            </w:r>
            <w:r w:rsidRPr="00B23740">
              <w:rPr>
                <w:b w:val="0"/>
                <w:bCs w:val="0"/>
              </w:rPr>
              <w:t>eneralidades.</w:t>
            </w:r>
          </w:p>
          <w:p w14:paraId="6FECA90F" w14:textId="1FB23C9B" w:rsidR="00B23740" w:rsidRPr="00B23740" w:rsidRDefault="00B23740" w:rsidP="00B23740">
            <w:pPr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4.2 </w:t>
            </w:r>
            <w:r w:rsidRPr="00B23740">
              <w:rPr>
                <w:b w:val="0"/>
                <w:bCs w:val="0"/>
              </w:rPr>
              <w:t xml:space="preserve">La </w:t>
            </w:r>
            <w:r>
              <w:rPr>
                <w:b w:val="0"/>
                <w:bCs w:val="0"/>
              </w:rPr>
              <w:t>a</w:t>
            </w:r>
            <w:r w:rsidRPr="00B23740">
              <w:rPr>
                <w:b w:val="0"/>
                <w:bCs w:val="0"/>
              </w:rPr>
              <w:t xml:space="preserve">cción de </w:t>
            </w:r>
            <w:r>
              <w:rPr>
                <w:b w:val="0"/>
                <w:bCs w:val="0"/>
              </w:rPr>
              <w:t>e</w:t>
            </w:r>
            <w:r w:rsidRPr="00B23740">
              <w:rPr>
                <w:b w:val="0"/>
                <w:bCs w:val="0"/>
              </w:rPr>
              <w:t xml:space="preserve">xtinción de </w:t>
            </w:r>
            <w:r>
              <w:rPr>
                <w:b w:val="0"/>
                <w:bCs w:val="0"/>
              </w:rPr>
              <w:t>d</w:t>
            </w:r>
            <w:r w:rsidRPr="00B23740">
              <w:rPr>
                <w:b w:val="0"/>
                <w:bCs w:val="0"/>
              </w:rPr>
              <w:t>ominio</w:t>
            </w:r>
          </w:p>
          <w:p w14:paraId="3B3D3377" w14:textId="2A56CD96" w:rsidR="00B23740" w:rsidRPr="00B23740" w:rsidRDefault="00B23740" w:rsidP="00B23740">
            <w:pPr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4.3 </w:t>
            </w:r>
            <w:r w:rsidRPr="00B23740">
              <w:rPr>
                <w:b w:val="0"/>
                <w:bCs w:val="0"/>
              </w:rPr>
              <w:t xml:space="preserve">Proceso para el </w:t>
            </w:r>
            <w:r>
              <w:rPr>
                <w:b w:val="0"/>
                <w:bCs w:val="0"/>
              </w:rPr>
              <w:t>e</w:t>
            </w:r>
            <w:r w:rsidRPr="00B23740">
              <w:rPr>
                <w:b w:val="0"/>
                <w:bCs w:val="0"/>
              </w:rPr>
              <w:t xml:space="preserve">jercicio de la </w:t>
            </w:r>
            <w:r>
              <w:rPr>
                <w:b w:val="0"/>
                <w:bCs w:val="0"/>
              </w:rPr>
              <w:t>a</w:t>
            </w:r>
            <w:r w:rsidRPr="00B23740">
              <w:rPr>
                <w:b w:val="0"/>
                <w:bCs w:val="0"/>
              </w:rPr>
              <w:t xml:space="preserve">cción de </w:t>
            </w:r>
            <w:r>
              <w:rPr>
                <w:b w:val="0"/>
                <w:bCs w:val="0"/>
              </w:rPr>
              <w:t>e</w:t>
            </w:r>
            <w:r w:rsidRPr="00B23740">
              <w:rPr>
                <w:b w:val="0"/>
                <w:bCs w:val="0"/>
              </w:rPr>
              <w:t xml:space="preserve">xtinción de </w:t>
            </w:r>
            <w:r>
              <w:rPr>
                <w:b w:val="0"/>
                <w:bCs w:val="0"/>
              </w:rPr>
              <w:t>d</w:t>
            </w:r>
            <w:r w:rsidRPr="00B23740">
              <w:rPr>
                <w:b w:val="0"/>
                <w:bCs w:val="0"/>
              </w:rPr>
              <w:t>ominio</w:t>
            </w:r>
          </w:p>
          <w:p w14:paraId="1C2DADBC" w14:textId="6D50FA26" w:rsidR="00B23740" w:rsidRPr="00B23740" w:rsidRDefault="00B23740" w:rsidP="00B23740">
            <w:pPr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4.4 </w:t>
            </w:r>
            <w:r w:rsidRPr="00B23740">
              <w:rPr>
                <w:b w:val="0"/>
                <w:bCs w:val="0"/>
              </w:rPr>
              <w:t xml:space="preserve">Etapas del </w:t>
            </w:r>
            <w:r>
              <w:rPr>
                <w:b w:val="0"/>
                <w:bCs w:val="0"/>
              </w:rPr>
              <w:t>p</w:t>
            </w:r>
            <w:r w:rsidRPr="00B23740">
              <w:rPr>
                <w:b w:val="0"/>
                <w:bCs w:val="0"/>
              </w:rPr>
              <w:t xml:space="preserve">roceso </w:t>
            </w:r>
            <w:r>
              <w:rPr>
                <w:b w:val="0"/>
                <w:bCs w:val="0"/>
              </w:rPr>
              <w:t>e</w:t>
            </w:r>
            <w:r w:rsidRPr="00B23740">
              <w:rPr>
                <w:b w:val="0"/>
                <w:bCs w:val="0"/>
              </w:rPr>
              <w:t xml:space="preserve">special de </w:t>
            </w:r>
            <w:r>
              <w:rPr>
                <w:b w:val="0"/>
                <w:bCs w:val="0"/>
              </w:rPr>
              <w:t>e</w:t>
            </w:r>
            <w:r w:rsidRPr="00B23740">
              <w:rPr>
                <w:b w:val="0"/>
                <w:bCs w:val="0"/>
              </w:rPr>
              <w:t xml:space="preserve">xtinción de </w:t>
            </w:r>
            <w:r>
              <w:rPr>
                <w:b w:val="0"/>
                <w:bCs w:val="0"/>
              </w:rPr>
              <w:t>d</w:t>
            </w:r>
            <w:r w:rsidRPr="00B23740">
              <w:rPr>
                <w:b w:val="0"/>
                <w:bCs w:val="0"/>
              </w:rPr>
              <w:t>ominio</w:t>
            </w:r>
          </w:p>
          <w:p w14:paraId="5AF98236" w14:textId="5146BD44" w:rsidR="00B23740" w:rsidRPr="00B23740" w:rsidRDefault="00B23740" w:rsidP="00B23740">
            <w:pPr>
              <w:jc w:val="both"/>
              <w:rPr>
                <w:b w:val="0"/>
                <w:bCs w:val="0"/>
              </w:rPr>
            </w:pPr>
            <w:r w:rsidRPr="00B23740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4.5 </w:t>
            </w:r>
            <w:r w:rsidRPr="00B23740">
              <w:rPr>
                <w:b w:val="0"/>
                <w:bCs w:val="0"/>
              </w:rPr>
              <w:t xml:space="preserve">Transferencia, </w:t>
            </w:r>
            <w:r>
              <w:rPr>
                <w:b w:val="0"/>
                <w:bCs w:val="0"/>
              </w:rPr>
              <w:t>a</w:t>
            </w:r>
            <w:r w:rsidRPr="00B23740">
              <w:rPr>
                <w:b w:val="0"/>
                <w:bCs w:val="0"/>
              </w:rPr>
              <w:t xml:space="preserve">dministración y </w:t>
            </w:r>
            <w:r>
              <w:rPr>
                <w:b w:val="0"/>
                <w:bCs w:val="0"/>
              </w:rPr>
              <w:t>d</w:t>
            </w:r>
            <w:r w:rsidRPr="00B23740">
              <w:rPr>
                <w:b w:val="0"/>
                <w:bCs w:val="0"/>
              </w:rPr>
              <w:t xml:space="preserve">isposición de los </w:t>
            </w:r>
            <w:r>
              <w:rPr>
                <w:b w:val="0"/>
                <w:bCs w:val="0"/>
              </w:rPr>
              <w:t>b</w:t>
            </w:r>
            <w:r w:rsidRPr="00B23740">
              <w:rPr>
                <w:b w:val="0"/>
                <w:bCs w:val="0"/>
              </w:rPr>
              <w:t>ienes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4EEC" w14:textId="77777777" w:rsidR="00C87314" w:rsidRDefault="00C87314" w:rsidP="00AD713B">
      <w:pPr>
        <w:spacing w:after="0" w:line="240" w:lineRule="auto"/>
      </w:pPr>
      <w:r>
        <w:separator/>
      </w:r>
    </w:p>
  </w:endnote>
  <w:endnote w:type="continuationSeparator" w:id="0">
    <w:p w14:paraId="651F8610" w14:textId="77777777" w:rsidR="00C87314" w:rsidRDefault="00C87314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1113" w14:textId="77777777" w:rsidR="00C87314" w:rsidRDefault="00C87314" w:rsidP="00AD713B">
      <w:pPr>
        <w:spacing w:after="0" w:line="240" w:lineRule="auto"/>
      </w:pPr>
      <w:r>
        <w:separator/>
      </w:r>
    </w:p>
  </w:footnote>
  <w:footnote w:type="continuationSeparator" w:id="0">
    <w:p w14:paraId="2F8B4A98" w14:textId="77777777" w:rsidR="00C87314" w:rsidRDefault="00C87314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5C61B2"/>
    <w:multiLevelType w:val="multilevel"/>
    <w:tmpl w:val="4C560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234D81"/>
    <w:rsid w:val="0026056A"/>
    <w:rsid w:val="002C65F7"/>
    <w:rsid w:val="00377B97"/>
    <w:rsid w:val="003A4757"/>
    <w:rsid w:val="003A56AC"/>
    <w:rsid w:val="003B502E"/>
    <w:rsid w:val="003D52C8"/>
    <w:rsid w:val="00483090"/>
    <w:rsid w:val="004F0151"/>
    <w:rsid w:val="004F3CF2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66AEB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215AD"/>
    <w:rsid w:val="00A66DA4"/>
    <w:rsid w:val="00A71438"/>
    <w:rsid w:val="00A93548"/>
    <w:rsid w:val="00AA7385"/>
    <w:rsid w:val="00AC190C"/>
    <w:rsid w:val="00AD713B"/>
    <w:rsid w:val="00AF3C72"/>
    <w:rsid w:val="00B013B3"/>
    <w:rsid w:val="00B23740"/>
    <w:rsid w:val="00B26201"/>
    <w:rsid w:val="00B40BBC"/>
    <w:rsid w:val="00B51791"/>
    <w:rsid w:val="00B52AEB"/>
    <w:rsid w:val="00B65ABA"/>
    <w:rsid w:val="00C17288"/>
    <w:rsid w:val="00C40819"/>
    <w:rsid w:val="00C46FF4"/>
    <w:rsid w:val="00C87314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3</cp:revision>
  <dcterms:created xsi:type="dcterms:W3CDTF">2020-08-07T20:25:00Z</dcterms:created>
  <dcterms:modified xsi:type="dcterms:W3CDTF">2020-08-07T21:33:00Z</dcterms:modified>
</cp:coreProperties>
</file>